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661F" w14:textId="5CF75E0F" w:rsidR="00677832" w:rsidRPr="00677832" w:rsidRDefault="00677832" w:rsidP="00677832">
      <w:pPr>
        <w:pStyle w:val="MStitle"/>
        <w:jc w:val="left"/>
        <w:rPr>
          <w:b w:val="0"/>
          <w:bCs/>
          <w:sz w:val="28"/>
          <w:szCs w:val="28"/>
        </w:rPr>
      </w:pPr>
      <w:r w:rsidRPr="00677832">
        <w:rPr>
          <w:b w:val="0"/>
          <w:bCs/>
          <w:sz w:val="28"/>
          <w:szCs w:val="28"/>
        </w:rPr>
        <w:t>Supplement Information for</w:t>
      </w:r>
    </w:p>
    <w:p w14:paraId="6C55F6F6" w14:textId="77777777" w:rsidR="00677832" w:rsidRPr="00677832" w:rsidRDefault="00677832" w:rsidP="00677832">
      <w:pPr>
        <w:pStyle w:val="MStitle"/>
        <w:jc w:val="center"/>
        <w:rPr>
          <w:sz w:val="24"/>
        </w:rPr>
      </w:pPr>
    </w:p>
    <w:p w14:paraId="12F74206" w14:textId="7CA3040A" w:rsidR="005C2366" w:rsidRPr="00BE0B62" w:rsidRDefault="005C2366" w:rsidP="005C2366">
      <w:pPr>
        <w:pStyle w:val="MStitle"/>
      </w:pPr>
      <w:r w:rsidRPr="00BE0B62">
        <w:t>Glacial-interglacial seawater isotope change near the Chilean Margin as reflected by δ</w:t>
      </w:r>
      <w:r w:rsidRPr="00476231">
        <w:rPr>
          <w:vertAlign w:val="superscript"/>
        </w:rPr>
        <w:t>2</w:t>
      </w:r>
      <w:r w:rsidRPr="00BE0B62">
        <w:t xml:space="preserve">H </w:t>
      </w:r>
      <w:r w:rsidR="006723F5">
        <w:t xml:space="preserve">values </w:t>
      </w:r>
      <w:r w:rsidRPr="00BE0B62">
        <w:t>of C</w:t>
      </w:r>
      <w:r w:rsidRPr="006723F5">
        <w:rPr>
          <w:vertAlign w:val="subscript"/>
        </w:rPr>
        <w:t>37</w:t>
      </w:r>
      <w:r w:rsidRPr="00BE0B62">
        <w:t xml:space="preserve"> alkenones.</w:t>
      </w:r>
    </w:p>
    <w:p w14:paraId="32AC9515" w14:textId="77777777" w:rsidR="005C2366" w:rsidRPr="00BE0B62" w:rsidRDefault="005C2366" w:rsidP="005C2366">
      <w:pPr>
        <w:pStyle w:val="Authors"/>
        <w:rPr>
          <w:vertAlign w:val="superscript"/>
          <w:lang w:val="nl-NL"/>
        </w:rPr>
      </w:pPr>
      <w:r w:rsidRPr="00BE0B62">
        <w:rPr>
          <w:lang w:val="nl-NL"/>
        </w:rPr>
        <w:t>Katrin Hättig</w:t>
      </w:r>
      <w:r w:rsidRPr="00BE0B62">
        <w:rPr>
          <w:vertAlign w:val="superscript"/>
          <w:lang w:val="nl-NL"/>
        </w:rPr>
        <w:t>1</w:t>
      </w:r>
      <w:r w:rsidRPr="00BE0B62">
        <w:rPr>
          <w:lang w:val="nl-NL"/>
        </w:rPr>
        <w:t>, Devika Varma</w:t>
      </w:r>
      <w:r w:rsidRPr="00BE0B62">
        <w:rPr>
          <w:vertAlign w:val="superscript"/>
          <w:lang w:val="nl-NL"/>
        </w:rPr>
        <w:t>1</w:t>
      </w:r>
      <w:r w:rsidRPr="00BE0B62">
        <w:rPr>
          <w:lang w:val="nl-NL"/>
        </w:rPr>
        <w:t>, Stefan Schouten</w:t>
      </w:r>
      <w:r w:rsidRPr="00BE0B62">
        <w:rPr>
          <w:vertAlign w:val="superscript"/>
          <w:lang w:val="nl-NL"/>
        </w:rPr>
        <w:t>1,2</w:t>
      </w:r>
      <w:r w:rsidRPr="00BE0B62">
        <w:rPr>
          <w:lang w:val="nl-NL"/>
        </w:rPr>
        <w:t>, Marcel T. J. van der Meer</w:t>
      </w:r>
      <w:r w:rsidRPr="00BE0B62">
        <w:rPr>
          <w:vertAlign w:val="superscript"/>
          <w:lang w:val="nl-NL"/>
        </w:rPr>
        <w:t>1</w:t>
      </w:r>
    </w:p>
    <w:p w14:paraId="21E00340" w14:textId="77777777" w:rsidR="005C2366" w:rsidRPr="00A67681" w:rsidRDefault="005C2366" w:rsidP="005C2366">
      <w:pPr>
        <w:pStyle w:val="Affiliation"/>
        <w:rPr>
          <w:lang w:val="en-US"/>
        </w:rPr>
      </w:pPr>
      <w:r w:rsidRPr="00A67681">
        <w:rPr>
          <w:vertAlign w:val="superscript"/>
          <w:lang w:val="en-US"/>
        </w:rPr>
        <w:t xml:space="preserve">1 </w:t>
      </w:r>
      <w:r w:rsidRPr="00A67681">
        <w:rPr>
          <w:lang w:val="en-US"/>
        </w:rPr>
        <w:t>Department of Marine Microbiology and Biogeochemistry, NIOZ Royal Netherlands Institute for Sea Research, Texel, the Netherlands</w:t>
      </w:r>
    </w:p>
    <w:p w14:paraId="29E95FB4" w14:textId="77777777" w:rsidR="005C2366" w:rsidRDefault="005C2366" w:rsidP="005C2366">
      <w:pPr>
        <w:pStyle w:val="Affiliation"/>
        <w:rPr>
          <w:lang w:val="en-US"/>
        </w:rPr>
      </w:pPr>
      <w:r w:rsidRPr="00A67681">
        <w:rPr>
          <w:vertAlign w:val="superscript"/>
          <w:lang w:val="en-US"/>
        </w:rPr>
        <w:t xml:space="preserve">2 </w:t>
      </w:r>
      <w:r w:rsidRPr="00A67681">
        <w:rPr>
          <w:lang w:val="en-US"/>
        </w:rPr>
        <w:t>Department of Earth Sciences, Faculty of Geosciences, Utrecht University, Utrecht, the Netherlands</w:t>
      </w:r>
    </w:p>
    <w:p w14:paraId="7A9245B5" w14:textId="1ACAF3CE" w:rsidR="005C2366" w:rsidRPr="00677832" w:rsidRDefault="005C2366" w:rsidP="00677832">
      <w:pPr>
        <w:pStyle w:val="Correspondence"/>
        <w:rPr>
          <w:lang w:val="en-US"/>
        </w:rPr>
      </w:pPr>
      <w:r w:rsidRPr="000A1B66">
        <w:rPr>
          <w:i/>
        </w:rPr>
        <w:t>Correspondence to</w:t>
      </w:r>
      <w:r>
        <w:t xml:space="preserve">: Katrin </w:t>
      </w:r>
      <w:r w:rsidRPr="00BE0B62">
        <w:rPr>
          <w:lang w:val="en-US"/>
        </w:rPr>
        <w:t>Hättig</w:t>
      </w:r>
      <w:r>
        <w:rPr>
          <w:lang w:val="en-US"/>
        </w:rPr>
        <w:t xml:space="preserve"> (</w:t>
      </w:r>
      <w:hyperlink r:id="rId6" w:history="1">
        <w:r w:rsidRPr="003B152E">
          <w:rPr>
            <w:rStyle w:val="Hyperlink"/>
            <w:lang w:val="en-US"/>
          </w:rPr>
          <w:t>katrin.haettig@nioz.nl</w:t>
        </w:r>
      </w:hyperlink>
      <w:r>
        <w:rPr>
          <w:lang w:val="en-US"/>
        </w:rPr>
        <w:t>)</w:t>
      </w:r>
    </w:p>
    <w:p w14:paraId="40448712" w14:textId="28C7106E" w:rsidR="005C2366" w:rsidRPr="00677832" w:rsidRDefault="0067783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77832">
        <w:rPr>
          <w:rFonts w:ascii="Times New Roman" w:hAnsi="Times New Roman" w:cs="Times New Roman"/>
          <w:b/>
          <w:bCs/>
          <w:sz w:val="20"/>
          <w:szCs w:val="20"/>
        </w:rPr>
        <w:t>Content of this file</w:t>
      </w:r>
    </w:p>
    <w:p w14:paraId="01D4BA83" w14:textId="23E107A4" w:rsidR="005C2366" w:rsidRDefault="00677832">
      <w:pPr>
        <w:rPr>
          <w:rFonts w:ascii="Times New Roman" w:hAnsi="Times New Roman" w:cs="Times New Roman"/>
          <w:sz w:val="20"/>
          <w:szCs w:val="20"/>
        </w:rPr>
      </w:pPr>
      <w:r w:rsidRPr="00677832">
        <w:rPr>
          <w:rFonts w:ascii="Times New Roman" w:hAnsi="Times New Roman" w:cs="Times New Roman"/>
          <w:sz w:val="20"/>
          <w:szCs w:val="20"/>
        </w:rPr>
        <w:t xml:space="preserve">Figure </w:t>
      </w:r>
      <w:r>
        <w:rPr>
          <w:rFonts w:ascii="Times New Roman" w:hAnsi="Times New Roman" w:cs="Times New Roman"/>
          <w:sz w:val="20"/>
          <w:szCs w:val="20"/>
        </w:rPr>
        <w:t>S1-S3</w:t>
      </w:r>
    </w:p>
    <w:p w14:paraId="08004F1E" w14:textId="069AAAB8" w:rsidR="005C2366" w:rsidRPr="00677832" w:rsidRDefault="0067783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Table S1</w:t>
      </w:r>
    </w:p>
    <w:p w14:paraId="7DB47C84" w14:textId="715EA90A" w:rsidR="00730FD4" w:rsidRPr="00677832" w:rsidRDefault="00677832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7783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Age model</w:t>
      </w:r>
    </w:p>
    <w:p w14:paraId="73B6CB42" w14:textId="3362C912" w:rsidR="00A4084F" w:rsidRPr="005C2366" w:rsidRDefault="00A4084F" w:rsidP="00A4084F">
      <w:pPr>
        <w:pStyle w:val="Bijschrift"/>
        <w:keepNext/>
        <w:spacing w:line="360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</w:rPr>
      </w:pPr>
      <w:r w:rsidRPr="00677832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Table </w:t>
      </w:r>
      <w:r w:rsidR="00DF3B20" w:rsidRPr="00677832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S1</w:t>
      </w:r>
      <w:r w:rsidR="00677832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.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Age tie points added to the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  <w:vertAlign w:val="superscript"/>
        </w:rPr>
        <w:t>14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C record from Muratil et al., 2010.</w:t>
      </w:r>
      <w:r w:rsidR="00505597"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The Laschamp Event at 41 ka is defined for O</w:t>
      </w:r>
      <w:r w:rsidR="00B817DC">
        <w:rPr>
          <w:rFonts w:ascii="Times New Roman" w:hAnsi="Times New Roman" w:cs="Times New Roman"/>
          <w:i w:val="0"/>
          <w:iCs w:val="0"/>
          <w:color w:val="000000" w:themeColor="text1"/>
        </w:rPr>
        <w:t>DP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1234</w:t>
      </w:r>
      <w:r w:rsidR="00B817DC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and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1235 based on the magnetic susceptibility </w:t>
      </w:r>
      <w:r w:rsidR="00DF3B20" w:rsidRPr="005C2366">
        <w:rPr>
          <w:rFonts w:ascii="Times New Roman" w:hAnsi="Times New Roman" w:cs="Times New Roman"/>
          <w:i w:val="0"/>
          <w:iCs w:val="0"/>
          <w:color w:val="000000" w:themeColor="text1"/>
        </w:rPr>
        <w:t>(</w:t>
      </w:r>
      <w:r w:rsidR="00505597" w:rsidRPr="005C2366">
        <w:rPr>
          <w:rFonts w:ascii="Times New Roman" w:hAnsi="Times New Roman" w:cs="Times New Roman"/>
          <w:i w:val="0"/>
          <w:iCs w:val="0"/>
          <w:color w:val="000000" w:themeColor="text1"/>
        </w:rPr>
        <w:t>Mix</w:t>
      </w:r>
      <w:r w:rsidR="00DF3B20"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et al.</w:t>
      </w:r>
      <w:r w:rsidR="00505597"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2003</w:t>
      </w:r>
      <w:r w:rsidR="00DF3B20" w:rsidRPr="005C2366">
        <w:rPr>
          <w:rFonts w:ascii="Times New Roman" w:hAnsi="Times New Roman" w:cs="Times New Roman"/>
          <w:i w:val="0"/>
          <w:iCs w:val="0"/>
          <w:color w:val="000000" w:themeColor="text1"/>
        </w:rPr>
        <w:t>).</w:t>
      </w:r>
      <w:r w:rsidR="00505597"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For ODP 1235 three </w:t>
      </w:r>
      <w:r w:rsidR="00B817DC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additional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radiocarbon measurements o</w:t>
      </w:r>
      <w:r w:rsidR="00B817DC">
        <w:rPr>
          <w:rFonts w:ascii="Times New Roman" w:hAnsi="Times New Roman" w:cs="Times New Roman"/>
          <w:i w:val="0"/>
          <w:iCs w:val="0"/>
          <w:color w:val="000000" w:themeColor="text1"/>
        </w:rPr>
        <w:t>f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benthic foraminifera </w:t>
      </w:r>
      <w:r w:rsidRPr="00B817DC">
        <w:rPr>
          <w:rFonts w:ascii="Times New Roman" w:hAnsi="Times New Roman" w:cs="Times New Roman"/>
          <w:color w:val="000000" w:themeColor="text1"/>
        </w:rPr>
        <w:t>Uvigerin</w:t>
      </w:r>
      <w:r w:rsidR="00B817DC" w:rsidRPr="00B817DC">
        <w:rPr>
          <w:rFonts w:ascii="Times New Roman" w:hAnsi="Times New Roman" w:cs="Times New Roman"/>
          <w:color w:val="000000" w:themeColor="text1"/>
        </w:rPr>
        <w:t>a</w:t>
      </w:r>
      <w:r w:rsidR="00B817DC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="00DF3B20"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were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added</w:t>
      </w:r>
      <w:r w:rsidR="00C40D4C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(as outlined by Varma et al., 2023).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4"/>
        <w:gridCol w:w="2189"/>
        <w:gridCol w:w="2573"/>
      </w:tblGrid>
      <w:tr w:rsidR="00A4084F" w14:paraId="04AE50C0" w14:textId="77777777" w:rsidTr="005D07FD">
        <w:trPr>
          <w:trHeight w:val="294"/>
        </w:trPr>
        <w:tc>
          <w:tcPr>
            <w:tcW w:w="2554" w:type="dxa"/>
            <w:tcBorders>
              <w:bottom w:val="single" w:sz="4" w:space="0" w:color="auto"/>
            </w:tcBorders>
          </w:tcPr>
          <w:p w14:paraId="46A0A760" w14:textId="77777777" w:rsidR="00A4084F" w:rsidRPr="000929E2" w:rsidRDefault="00A4084F" w:rsidP="005D07F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29E2">
              <w:rPr>
                <w:b/>
                <w:bCs/>
                <w:sz w:val="20"/>
                <w:szCs w:val="20"/>
              </w:rPr>
              <w:t>Age tie point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14:paraId="1C41E638" w14:textId="77777777" w:rsidR="00A4084F" w:rsidRPr="000929E2" w:rsidRDefault="00A4084F" w:rsidP="005D07F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29E2">
              <w:rPr>
                <w:b/>
                <w:bCs/>
                <w:sz w:val="20"/>
                <w:szCs w:val="20"/>
              </w:rPr>
              <w:t>ODP1235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14:paraId="2729ABBE" w14:textId="77777777" w:rsidR="00A4084F" w:rsidRPr="000929E2" w:rsidRDefault="00A4084F" w:rsidP="005D07FD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0929E2">
              <w:rPr>
                <w:b/>
                <w:bCs/>
                <w:sz w:val="20"/>
                <w:szCs w:val="20"/>
              </w:rPr>
              <w:t>ODP1234</w:t>
            </w:r>
          </w:p>
        </w:tc>
      </w:tr>
      <w:tr w:rsidR="00A4084F" w14:paraId="12FB5608" w14:textId="77777777" w:rsidTr="005D07FD">
        <w:trPr>
          <w:trHeight w:val="276"/>
        </w:trPr>
        <w:tc>
          <w:tcPr>
            <w:tcW w:w="2554" w:type="dxa"/>
            <w:tcBorders>
              <w:top w:val="single" w:sz="4" w:space="0" w:color="auto"/>
            </w:tcBorders>
          </w:tcPr>
          <w:p w14:paraId="2E5C761F" w14:textId="7777777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rFonts w:ascii="Calibri Light" w:hAnsi="Calibri Light" w:cs="Calibri Light"/>
                <w:color w:val="000000"/>
                <w:sz w:val="20"/>
                <w:szCs w:val="20"/>
                <w:shd w:val="clear" w:color="auto" w:fill="FFFFFF"/>
              </w:rPr>
              <w:t>41 ka Laschamp Event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14:paraId="2C2C48B9" w14:textId="3D84DAA4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>51 m</w:t>
            </w:r>
          </w:p>
        </w:tc>
        <w:tc>
          <w:tcPr>
            <w:tcW w:w="2573" w:type="dxa"/>
            <w:tcBorders>
              <w:top w:val="single" w:sz="4" w:space="0" w:color="auto"/>
            </w:tcBorders>
          </w:tcPr>
          <w:p w14:paraId="39EEA34B" w14:textId="7D8D9618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>2</w:t>
            </w:r>
            <w:r w:rsidR="000A2C06" w:rsidRPr="000929E2">
              <w:rPr>
                <w:sz w:val="20"/>
                <w:szCs w:val="20"/>
              </w:rPr>
              <w:t>7</w:t>
            </w:r>
            <w:r w:rsidRPr="000929E2">
              <w:rPr>
                <w:sz w:val="20"/>
                <w:szCs w:val="20"/>
              </w:rPr>
              <w:t xml:space="preserve"> m</w:t>
            </w:r>
          </w:p>
        </w:tc>
      </w:tr>
      <w:tr w:rsidR="00A4084F" w14:paraId="584315C5" w14:textId="77777777" w:rsidTr="005D07FD">
        <w:trPr>
          <w:trHeight w:val="294"/>
        </w:trPr>
        <w:tc>
          <w:tcPr>
            <w:tcW w:w="2554" w:type="dxa"/>
          </w:tcPr>
          <w:p w14:paraId="4F2025F4" w14:textId="7777777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 xml:space="preserve">21.323 </w:t>
            </w:r>
            <w:r w:rsidRPr="000929E2">
              <w:rPr>
                <w:rFonts w:cstheme="minorHAnsi"/>
                <w:sz w:val="20"/>
                <w:szCs w:val="20"/>
              </w:rPr>
              <w:t xml:space="preserve">± 192 </w:t>
            </w:r>
            <w:r w:rsidRPr="000929E2">
              <w:rPr>
                <w:rFonts w:cstheme="minorHAnsi"/>
                <w:sz w:val="20"/>
                <w:szCs w:val="20"/>
                <w:vertAlign w:val="superscript"/>
              </w:rPr>
              <w:t>14</w:t>
            </w:r>
            <w:r w:rsidRPr="000929E2">
              <w:rPr>
                <w:rFonts w:cstheme="minorHAnsi"/>
                <w:sz w:val="20"/>
                <w:szCs w:val="20"/>
              </w:rPr>
              <w:t>C age</w:t>
            </w:r>
          </w:p>
        </w:tc>
        <w:tc>
          <w:tcPr>
            <w:tcW w:w="2189" w:type="dxa"/>
          </w:tcPr>
          <w:p w14:paraId="1F5CF28F" w14:textId="0EEAF49F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>26 m</w:t>
            </w:r>
          </w:p>
        </w:tc>
        <w:tc>
          <w:tcPr>
            <w:tcW w:w="2573" w:type="dxa"/>
          </w:tcPr>
          <w:p w14:paraId="4BD22786" w14:textId="7777777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4084F" w14:paraId="4E1696D4" w14:textId="77777777" w:rsidTr="005D07FD">
        <w:trPr>
          <w:trHeight w:val="294"/>
        </w:trPr>
        <w:tc>
          <w:tcPr>
            <w:tcW w:w="2554" w:type="dxa"/>
          </w:tcPr>
          <w:p w14:paraId="20A71B75" w14:textId="7777777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 xml:space="preserve">20.866 </w:t>
            </w:r>
            <w:r w:rsidRPr="000929E2">
              <w:rPr>
                <w:rFonts w:cstheme="minorHAnsi"/>
                <w:sz w:val="20"/>
                <w:szCs w:val="20"/>
              </w:rPr>
              <w:t xml:space="preserve">± 198 </w:t>
            </w:r>
            <w:r w:rsidRPr="000929E2">
              <w:rPr>
                <w:rFonts w:cstheme="minorHAnsi"/>
                <w:sz w:val="20"/>
                <w:szCs w:val="20"/>
                <w:vertAlign w:val="superscript"/>
              </w:rPr>
              <w:t>14</w:t>
            </w:r>
            <w:r w:rsidRPr="000929E2">
              <w:rPr>
                <w:rFonts w:cstheme="minorHAnsi"/>
                <w:sz w:val="20"/>
                <w:szCs w:val="20"/>
              </w:rPr>
              <w:t>C age</w:t>
            </w:r>
          </w:p>
        </w:tc>
        <w:tc>
          <w:tcPr>
            <w:tcW w:w="2189" w:type="dxa"/>
          </w:tcPr>
          <w:p w14:paraId="45D518C4" w14:textId="66B7415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>22 m</w:t>
            </w:r>
          </w:p>
        </w:tc>
        <w:tc>
          <w:tcPr>
            <w:tcW w:w="2573" w:type="dxa"/>
          </w:tcPr>
          <w:p w14:paraId="1B23F910" w14:textId="7777777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4084F" w14:paraId="45DE272E" w14:textId="77777777" w:rsidTr="005D07FD">
        <w:trPr>
          <w:trHeight w:val="294"/>
        </w:trPr>
        <w:tc>
          <w:tcPr>
            <w:tcW w:w="2554" w:type="dxa"/>
          </w:tcPr>
          <w:p w14:paraId="53A52FD0" w14:textId="7777777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 xml:space="preserve">20.354 </w:t>
            </w:r>
            <w:r w:rsidRPr="000929E2">
              <w:rPr>
                <w:rFonts w:cstheme="minorHAnsi"/>
                <w:sz w:val="20"/>
                <w:szCs w:val="20"/>
              </w:rPr>
              <w:t xml:space="preserve">± 215 </w:t>
            </w:r>
            <w:r w:rsidRPr="000929E2">
              <w:rPr>
                <w:rFonts w:cstheme="minorHAnsi"/>
                <w:sz w:val="20"/>
                <w:szCs w:val="20"/>
                <w:vertAlign w:val="superscript"/>
              </w:rPr>
              <w:t>14</w:t>
            </w:r>
            <w:r w:rsidRPr="000929E2">
              <w:rPr>
                <w:rFonts w:cstheme="minorHAnsi"/>
                <w:sz w:val="20"/>
                <w:szCs w:val="20"/>
              </w:rPr>
              <w:t>C age</w:t>
            </w:r>
          </w:p>
        </w:tc>
        <w:tc>
          <w:tcPr>
            <w:tcW w:w="2189" w:type="dxa"/>
          </w:tcPr>
          <w:p w14:paraId="03280E84" w14:textId="1F528EAF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29E2">
              <w:rPr>
                <w:sz w:val="20"/>
                <w:szCs w:val="20"/>
              </w:rPr>
              <w:t>195 m</w:t>
            </w:r>
          </w:p>
        </w:tc>
        <w:tc>
          <w:tcPr>
            <w:tcW w:w="2573" w:type="dxa"/>
          </w:tcPr>
          <w:p w14:paraId="32C18A29" w14:textId="77777777" w:rsidR="00A4084F" w:rsidRPr="000929E2" w:rsidRDefault="00A4084F" w:rsidP="005D07F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6E029263" w14:textId="3609A563" w:rsidR="00A4084F" w:rsidRDefault="00A4084F">
      <w:pPr>
        <w:rPr>
          <w:b/>
          <w:bCs/>
        </w:rPr>
      </w:pPr>
    </w:p>
    <w:p w14:paraId="2EC6D32A" w14:textId="77777777" w:rsidR="00A4084F" w:rsidRDefault="00A4084F" w:rsidP="00A4084F">
      <w:pPr>
        <w:keepNext/>
        <w:spacing w:line="360" w:lineRule="auto"/>
        <w:jc w:val="both"/>
      </w:pPr>
      <w:r w:rsidRPr="001E742C">
        <w:rPr>
          <w:noProof/>
        </w:rPr>
        <w:drawing>
          <wp:inline distT="0" distB="0" distL="0" distR="0" wp14:anchorId="37604409" wp14:editId="031ECD30">
            <wp:extent cx="2806810" cy="182974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1370" cy="184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742C">
        <w:rPr>
          <w:noProof/>
        </w:rPr>
        <w:drawing>
          <wp:inline distT="0" distB="0" distL="0" distR="0" wp14:anchorId="4FB25B97" wp14:editId="08708FB2">
            <wp:extent cx="2858960" cy="185265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4940" cy="187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FBE9D" w14:textId="124E088B" w:rsidR="00A4084F" w:rsidRPr="005C2366" w:rsidRDefault="00A4084F" w:rsidP="00A4084F">
      <w:pPr>
        <w:pStyle w:val="Bijschrift"/>
        <w:spacing w:line="360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</w:rPr>
      </w:pPr>
      <w:r w:rsidRPr="00677832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Figure</w:t>
      </w:r>
      <w:r w:rsidR="00677832" w:rsidRPr="00677832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 S1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Age-depth model for ODP core 1234 and ODP</w:t>
      </w:r>
      <w:r w:rsidR="00505597"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1235 compiled with rbacon.</w:t>
      </w:r>
    </w:p>
    <w:p w14:paraId="4BC9A72F" w14:textId="3BF474F2" w:rsidR="00E020DD" w:rsidRDefault="008317A2" w:rsidP="00E020DD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1A59CBA" wp14:editId="2A2294F1">
            <wp:simplePos x="0" y="0"/>
            <wp:positionH relativeFrom="page">
              <wp:posOffset>1299845</wp:posOffset>
            </wp:positionH>
            <wp:positionV relativeFrom="paragraph">
              <wp:posOffset>198120</wp:posOffset>
            </wp:positionV>
            <wp:extent cx="4879975" cy="6654165"/>
            <wp:effectExtent l="0" t="0" r="0" b="0"/>
            <wp:wrapTopAndBottom/>
            <wp:docPr id="1980848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848044" name="Picture 198084804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9975" cy="665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C49FD1" w14:textId="77777777" w:rsidR="008317A2" w:rsidRPr="008317A2" w:rsidRDefault="008317A2" w:rsidP="00E020DD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26286E2" w14:textId="153C21D6" w:rsidR="00E020DD" w:rsidRPr="009C567E" w:rsidRDefault="00E020DD" w:rsidP="009C567E">
      <w:pPr>
        <w:pStyle w:val="Bijschrift"/>
        <w:spacing w:line="276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</w:rPr>
      </w:pPr>
      <w:r w:rsidRPr="00677832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Figure S2.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D</w:t>
      </w:r>
      <w:r>
        <w:rPr>
          <w:rFonts w:ascii="Times New Roman" w:hAnsi="Times New Roman" w:cs="Times New Roman"/>
          <w:i w:val="0"/>
          <w:iCs w:val="0"/>
          <w:color w:val="000000" w:themeColor="text1"/>
        </w:rPr>
        <w:t xml:space="preserve">istributions and correlations of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salinity, oxygen and hydrogen isotope</w:t>
      </w:r>
      <w:r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composition of open</w:t>
      </w:r>
      <w:r w:rsidRPr="00B6417F">
        <w:rPr>
          <w:b/>
          <w:bCs/>
        </w:rPr>
        <w:t>–</w:t>
      </w:r>
      <w:r>
        <w:rPr>
          <w:rFonts w:ascii="Times New Roman" w:hAnsi="Times New Roman" w:cs="Times New Roman"/>
          <w:i w:val="0"/>
          <w:iCs w:val="0"/>
          <w:color w:val="000000" w:themeColor="text1"/>
        </w:rPr>
        <w:t>ocean water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(Rohling et al., 2007; Schmidt et al., 1999; Waterisotope Database 2022 managed by Bowen; Gould et al., 2019; Weiss et al., 2019; Srivastava et al., 2010). </w:t>
      </w:r>
      <w:r w:rsidRPr="005C2366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a)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Global Map showing the datapoints of open</w:t>
      </w:r>
      <w:r w:rsidRPr="00B6417F">
        <w:rPr>
          <w:b/>
          <w:bCs/>
        </w:rPr>
        <w:t>–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ocean hydrogen isotopes of seawater used to constrain the modern open-ocean waterline (MOOWL). </w:t>
      </w:r>
      <w:r w:rsidRPr="005C2366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b)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Linear</w:t>
      </w:r>
      <w:r>
        <w:rPr>
          <w:b/>
          <w:bCs/>
        </w:rPr>
        <w:t xml:space="preserve">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regression of hydrogen and oxygen isotopes of seawater</w:t>
      </w:r>
      <w:r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(all depths)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, in blue the extended dataset used in this study, orange displays the relationship described by Rohling et al., 2007, black d</w:t>
      </w:r>
      <w:r>
        <w:rPr>
          <w:rFonts w:ascii="Times New Roman" w:hAnsi="Times New Roman" w:cs="Times New Roman"/>
          <w:i w:val="0"/>
          <w:iCs w:val="0"/>
          <w:color w:val="000000" w:themeColor="text1"/>
        </w:rPr>
        <w:t>ashed line represents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the Meteoric Waterline according to Craig et al., 1961, 1965. </w:t>
      </w:r>
      <w:r w:rsidRPr="005C2366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c)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Linear</w:t>
      </w:r>
      <w:r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regression of salinity and hydrogen isotopes of seawater</w:t>
      </w:r>
      <w:r w:rsidR="009C567E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(top 300 m)</w:t>
      </w:r>
      <w:r w:rsidRPr="005C2366">
        <w:rPr>
          <w:rFonts w:ascii="Times New Roman" w:hAnsi="Times New Roman" w:cs="Times New Roman"/>
          <w:i w:val="0"/>
          <w:iCs w:val="0"/>
          <w:color w:val="000000" w:themeColor="text1"/>
        </w:rPr>
        <w:t>.</w:t>
      </w:r>
      <w:r w:rsidR="009C567E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="009C567E" w:rsidRPr="009C567E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d)</w:t>
      </w:r>
      <w:r w:rsidR="009C567E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="009C567E" w:rsidRPr="00B817DC">
        <w:rPr>
          <w:rFonts w:ascii="Times New Roman" w:hAnsi="Times New Roman" w:cs="Times New Roman"/>
          <w:i w:val="0"/>
          <w:iCs w:val="0"/>
          <w:color w:val="000000" w:themeColor="text1"/>
        </w:rPr>
        <w:t>Linea</w:t>
      </w:r>
      <w:r w:rsidR="009C567E">
        <w:rPr>
          <w:rFonts w:ascii="Times New Roman" w:hAnsi="Times New Roman" w:cs="Times New Roman"/>
          <w:i w:val="0"/>
          <w:iCs w:val="0"/>
          <w:color w:val="000000" w:themeColor="text1"/>
        </w:rPr>
        <w:t>r regression of salinity and oxygen isotopes of seawater (top 300 m).</w:t>
      </w:r>
    </w:p>
    <w:sectPr w:rsidR="00E020DD" w:rsidRPr="009C5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93291"/>
    <w:multiLevelType w:val="hybridMultilevel"/>
    <w:tmpl w:val="4EFEF86A"/>
    <w:lvl w:ilvl="0" w:tplc="0DE08F8C">
      <w:start w:val="1"/>
      <w:numFmt w:val="decimal"/>
      <w:pStyle w:val="Kop2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630A3"/>
    <w:multiLevelType w:val="hybridMultilevel"/>
    <w:tmpl w:val="C0086336"/>
    <w:lvl w:ilvl="0" w:tplc="BA6C5E54">
      <w:start w:val="3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8089D"/>
    <w:multiLevelType w:val="hybridMultilevel"/>
    <w:tmpl w:val="91D4F48A"/>
    <w:lvl w:ilvl="0" w:tplc="D748770C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561603345">
    <w:abstractNumId w:val="0"/>
  </w:num>
  <w:num w:numId="2" w16cid:durableId="561599015">
    <w:abstractNumId w:val="2"/>
  </w:num>
  <w:num w:numId="3" w16cid:durableId="1429959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8"/>
    <w:rsid w:val="0007492C"/>
    <w:rsid w:val="000929E2"/>
    <w:rsid w:val="000A25EC"/>
    <w:rsid w:val="000A2C06"/>
    <w:rsid w:val="000E62B0"/>
    <w:rsid w:val="001C1170"/>
    <w:rsid w:val="0027705F"/>
    <w:rsid w:val="0029193E"/>
    <w:rsid w:val="0037105D"/>
    <w:rsid w:val="00371E33"/>
    <w:rsid w:val="003D5DCF"/>
    <w:rsid w:val="003F3BB6"/>
    <w:rsid w:val="00404E30"/>
    <w:rsid w:val="00464117"/>
    <w:rsid w:val="004C43C6"/>
    <w:rsid w:val="00505597"/>
    <w:rsid w:val="005822AC"/>
    <w:rsid w:val="00593B26"/>
    <w:rsid w:val="005C2366"/>
    <w:rsid w:val="006159C2"/>
    <w:rsid w:val="006723F5"/>
    <w:rsid w:val="006761DF"/>
    <w:rsid w:val="00677832"/>
    <w:rsid w:val="006B21E4"/>
    <w:rsid w:val="006E3FA8"/>
    <w:rsid w:val="007035DC"/>
    <w:rsid w:val="00730FD4"/>
    <w:rsid w:val="0076654E"/>
    <w:rsid w:val="00796DD1"/>
    <w:rsid w:val="00797157"/>
    <w:rsid w:val="007E77B8"/>
    <w:rsid w:val="008054BC"/>
    <w:rsid w:val="008317A2"/>
    <w:rsid w:val="00837956"/>
    <w:rsid w:val="0087563F"/>
    <w:rsid w:val="0088403B"/>
    <w:rsid w:val="008B4DEE"/>
    <w:rsid w:val="009C4901"/>
    <w:rsid w:val="009C567E"/>
    <w:rsid w:val="009E3521"/>
    <w:rsid w:val="00A252E5"/>
    <w:rsid w:val="00A4084F"/>
    <w:rsid w:val="00A41082"/>
    <w:rsid w:val="00AC007E"/>
    <w:rsid w:val="00AD3E89"/>
    <w:rsid w:val="00AE31B7"/>
    <w:rsid w:val="00B24B44"/>
    <w:rsid w:val="00B46162"/>
    <w:rsid w:val="00B646A1"/>
    <w:rsid w:val="00B75049"/>
    <w:rsid w:val="00B817DC"/>
    <w:rsid w:val="00C24B9A"/>
    <w:rsid w:val="00C40D4C"/>
    <w:rsid w:val="00C40D79"/>
    <w:rsid w:val="00C86A5F"/>
    <w:rsid w:val="00D26656"/>
    <w:rsid w:val="00D52231"/>
    <w:rsid w:val="00D55A8C"/>
    <w:rsid w:val="00DF3B20"/>
    <w:rsid w:val="00E020DD"/>
    <w:rsid w:val="00EB39F8"/>
    <w:rsid w:val="00ED4877"/>
    <w:rsid w:val="00ED6724"/>
    <w:rsid w:val="00F13182"/>
    <w:rsid w:val="00F220E4"/>
    <w:rsid w:val="00F357C6"/>
    <w:rsid w:val="00F3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0876E"/>
  <w15:chartTrackingRefBased/>
  <w15:docId w15:val="{F8B47371-A222-49DF-B832-B36AF5D1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4084F"/>
    <w:pPr>
      <w:keepNext/>
      <w:keepLines/>
      <w:numPr>
        <w:numId w:val="1"/>
      </w:numPr>
      <w:spacing w:before="40" w:after="0"/>
      <w:ind w:left="576"/>
      <w:outlineLvl w:val="1"/>
    </w:pPr>
    <w:rPr>
      <w:rFonts w:asciiTheme="majorHAnsi" w:eastAsiaTheme="majorEastAsia" w:hAnsiTheme="majorHAnsi" w:cstheme="majorBidi"/>
      <w:b/>
      <w:sz w:val="24"/>
      <w:szCs w:val="26"/>
      <w:lang w:val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408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408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9E35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raster">
    <w:name w:val="Table Grid"/>
    <w:basedOn w:val="Standaardtabel"/>
    <w:uiPriority w:val="39"/>
    <w:rsid w:val="00C8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C86A5F"/>
  </w:style>
  <w:style w:type="paragraph" w:styleId="Tekstopmerking">
    <w:name w:val="annotation text"/>
    <w:basedOn w:val="Standaard"/>
    <w:link w:val="TekstopmerkingChar"/>
    <w:uiPriority w:val="99"/>
    <w:unhideWhenUsed/>
    <w:rsid w:val="00A4084F"/>
    <w:pPr>
      <w:spacing w:line="240" w:lineRule="auto"/>
    </w:pPr>
    <w:rPr>
      <w:sz w:val="20"/>
      <w:szCs w:val="20"/>
      <w:lang w:val="nl-NL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A4084F"/>
    <w:rPr>
      <w:sz w:val="20"/>
      <w:szCs w:val="20"/>
      <w:lang w:val="nl-NL"/>
    </w:rPr>
  </w:style>
  <w:style w:type="character" w:styleId="Verwijzingopmerking">
    <w:name w:val="annotation reference"/>
    <w:basedOn w:val="Standaardalinea-lettertype"/>
    <w:uiPriority w:val="99"/>
    <w:unhideWhenUsed/>
    <w:rsid w:val="00A4084F"/>
    <w:rPr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A4084F"/>
    <w:rPr>
      <w:rFonts w:asciiTheme="majorHAnsi" w:eastAsiaTheme="majorEastAsia" w:hAnsiTheme="majorHAnsi" w:cstheme="majorBidi"/>
      <w:b/>
      <w:sz w:val="24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4084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4084F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jstalinea">
    <w:name w:val="List Paragraph"/>
    <w:basedOn w:val="Standaard"/>
    <w:qFormat/>
    <w:rsid w:val="00A4084F"/>
    <w:pPr>
      <w:ind w:left="720"/>
      <w:contextualSpacing/>
    </w:pPr>
    <w:rPr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5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7C6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357C6"/>
    <w:rPr>
      <w:b/>
      <w:bCs/>
      <w:lang w:val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357C6"/>
    <w:rPr>
      <w:b/>
      <w:bCs/>
      <w:sz w:val="20"/>
      <w:szCs w:val="20"/>
      <w:lang w:val="nl-NL"/>
    </w:rPr>
  </w:style>
  <w:style w:type="paragraph" w:styleId="Revisie">
    <w:name w:val="Revision"/>
    <w:hidden/>
    <w:uiPriority w:val="99"/>
    <w:semiHidden/>
    <w:rsid w:val="00AC007E"/>
    <w:pPr>
      <w:spacing w:after="0" w:line="240" w:lineRule="auto"/>
    </w:pPr>
  </w:style>
  <w:style w:type="character" w:customStyle="1" w:styleId="cf01">
    <w:name w:val="cf01"/>
    <w:basedOn w:val="Standaardalinea-lettertype"/>
    <w:rsid w:val="006B21E4"/>
    <w:rPr>
      <w:rFonts w:ascii="Segoe UI" w:hAnsi="Segoe UI" w:cs="Segoe UI" w:hint="default"/>
      <w:sz w:val="18"/>
      <w:szCs w:val="18"/>
    </w:rPr>
  </w:style>
  <w:style w:type="character" w:styleId="Hyperlink">
    <w:name w:val="Hyperlink"/>
    <w:uiPriority w:val="99"/>
    <w:rsid w:val="005C2366"/>
    <w:rPr>
      <w:color w:val="0000FF"/>
      <w:u w:val="single"/>
    </w:rPr>
  </w:style>
  <w:style w:type="paragraph" w:customStyle="1" w:styleId="MStitle">
    <w:name w:val="MS title"/>
    <w:basedOn w:val="Standaard"/>
    <w:link w:val="MStitleChar"/>
    <w:qFormat/>
    <w:rsid w:val="005C2366"/>
    <w:pPr>
      <w:spacing w:before="360" w:after="0" w:line="440" w:lineRule="exact"/>
      <w:contextualSpacing/>
      <w:jc w:val="both"/>
    </w:pPr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character" w:customStyle="1" w:styleId="MStitleChar">
    <w:name w:val="MS title Char"/>
    <w:basedOn w:val="Standaardalinea-lettertype"/>
    <w:link w:val="MStitle"/>
    <w:rsid w:val="005C2366"/>
    <w:rPr>
      <w:rFonts w:ascii="Times New Roman" w:eastAsia="Times New Roman" w:hAnsi="Times New Roman" w:cs="Times New Roman"/>
      <w:b/>
      <w:sz w:val="34"/>
      <w:szCs w:val="24"/>
      <w:lang w:val="en-GB" w:eastAsia="de-DE"/>
    </w:rPr>
  </w:style>
  <w:style w:type="paragraph" w:customStyle="1" w:styleId="Affiliation">
    <w:name w:val="Affiliation"/>
    <w:basedOn w:val="Standaard"/>
    <w:link w:val="AffiliationChar"/>
    <w:qFormat/>
    <w:rsid w:val="005C2366"/>
    <w:p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customStyle="1" w:styleId="AffiliationChar">
    <w:name w:val="Affiliation Char"/>
    <w:basedOn w:val="Standaardalinea-lettertype"/>
    <w:link w:val="Affiliation"/>
    <w:rsid w:val="005C2366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customStyle="1" w:styleId="Correspondence">
    <w:name w:val="Correspondence"/>
    <w:basedOn w:val="Standaard"/>
    <w:link w:val="CorrespondenceChar"/>
    <w:qFormat/>
    <w:rsid w:val="005C2366"/>
    <w:pPr>
      <w:spacing w:before="120" w:after="36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customStyle="1" w:styleId="CorrespondenceChar">
    <w:name w:val="Correspondence Char"/>
    <w:basedOn w:val="Standaardalinea-lettertype"/>
    <w:link w:val="Correspondence"/>
    <w:rsid w:val="005C2366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customStyle="1" w:styleId="Authors">
    <w:name w:val="Authors"/>
    <w:basedOn w:val="Standaard"/>
    <w:link w:val="AuthorsChar"/>
    <w:qFormat/>
    <w:rsid w:val="005C2366"/>
    <w:pPr>
      <w:spacing w:before="18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AuthorsChar">
    <w:name w:val="Authors Char"/>
    <w:basedOn w:val="Standaardalinea-lettertype"/>
    <w:link w:val="Authors"/>
    <w:rsid w:val="005C2366"/>
    <w:rPr>
      <w:rFonts w:ascii="Times New Roman" w:eastAsia="Times New Roman" w:hAnsi="Times New Roman" w:cs="Times New Roman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trin.haettig@nioz.n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88D69-11B4-4C0A-AA9D-4656E2F6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Haettig</dc:creator>
  <cp:keywords/>
  <dc:description/>
  <cp:lastModifiedBy>Katrin Haettig</cp:lastModifiedBy>
  <cp:revision>3</cp:revision>
  <cp:lastPrinted>2023-05-17T11:16:00Z</cp:lastPrinted>
  <dcterms:created xsi:type="dcterms:W3CDTF">2023-10-11T15:11:00Z</dcterms:created>
  <dcterms:modified xsi:type="dcterms:W3CDTF">2023-10-11T15:11:00Z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http://www.zotero.org/styles/begell-house-apa</vt:lpwstr>
  </property>
  <property fmtid="{D5CDD505-2E9C-101B-9397-08002B2CF9AE}" pid="11" name="Mendeley Recent Style Name 4_1">
    <vt:lpwstr>Begell House - APA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GrammarlyDocumentId">
    <vt:lpwstr>2daaf5040f2cb5b64ba572502ade8afd2914f70f206b61c2e39a3a809692dc03</vt:lpwstr>
  </property>
</Properties>
</file>